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62E8" w14:textId="77777777" w:rsid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Boletín informativo</w:t>
      </w:r>
    </w:p>
    <w:p w14:paraId="27C0FFC0" w14:textId="77777777" w:rsidR="006A6010" w:rsidRDefault="006A6010" w:rsidP="006A6010">
      <w:pPr>
        <w:rPr>
          <w:rFonts w:ascii="Verdana" w:hAnsi="Verdana"/>
          <w:sz w:val="24"/>
          <w:szCs w:val="24"/>
        </w:rPr>
      </w:pPr>
    </w:p>
    <w:p w14:paraId="7D8BDA6A" w14:textId="6F5840F6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b/>
          <w:bCs/>
          <w:sz w:val="24"/>
          <w:szCs w:val="24"/>
        </w:rPr>
        <w:t>IA en aviación civil (ECA / IFALPA)</w:t>
      </w:r>
    </w:p>
    <w:p w14:paraId="79470246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342F3BAE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  Contexto</w:t>
      </w:r>
    </w:p>
    <w:p w14:paraId="13114C9E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ECA e IFALPA analizan el impacto de la inteligencia artificial (IA) en la aviación civil y fijan principios claros para su desarrollo, uso y regulación. La IA puede mejorar seguridad y eficiencia, pero el ser humano debe seguir en el centro del sistema.</w:t>
      </w:r>
    </w:p>
    <w:p w14:paraId="19B50B0A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5175369A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18BCA616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  Puntos a considerar</w:t>
      </w:r>
    </w:p>
    <w:p w14:paraId="183C624D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5F93E250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• La IA es apoyo, no sustitución</w:t>
      </w:r>
    </w:p>
    <w:p w14:paraId="475DF5B2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Los sistemas de IA deben ayudar a pilotos y otros profesionales, nunca reemplazar su juicio, creatividad o intuición.</w:t>
      </w:r>
    </w:p>
    <w:p w14:paraId="7AA7974F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0A64B640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• Datos protegidos</w:t>
      </w:r>
    </w:p>
    <w:p w14:paraId="54B0752A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Los datos operacionales generados por profesionales solo pueden usarse con consentimiento colectivo, con fines de seguridad y bajo estrictas garantías de privacidad. No deben explotarse comercialmente sin compensación.</w:t>
      </w:r>
    </w:p>
    <w:p w14:paraId="108BA3C7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5816C2C3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• Control y responsabilidad humana</w:t>
      </w:r>
    </w:p>
    <w:p w14:paraId="7C3A98E4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La IA solo puede ofrecer opciones y recomendaciones. El piloto mantiene siempre el control, la capacidad de anulación y la responsabilidad final.</w:t>
      </w:r>
    </w:p>
    <w:p w14:paraId="6F084BCD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2C50E3BF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lastRenderedPageBreak/>
        <w:t>• Seguridad y certificación</w:t>
      </w:r>
    </w:p>
    <w:p w14:paraId="363DDBFF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Los sistemas de IA deben cumplir los mismos estándares de certificación aeronáutica. Los modelos “caja negra” no son aceptables en entornos críticos.</w:t>
      </w:r>
    </w:p>
    <w:p w14:paraId="7E2D95A8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35D34DEF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• Confianza calibrada</w:t>
      </w:r>
    </w:p>
    <w:p w14:paraId="0661A611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La confianza en la IA debe basarse en transparencia, formación y comprensión de sus límites, nunca en fe ciega o marketing.</w:t>
      </w:r>
    </w:p>
    <w:p w14:paraId="6B2C7E4A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24F5CBDB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• Ciberseguridad y formación</w:t>
      </w:r>
    </w:p>
    <w:p w14:paraId="049A447D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Es esencial proteger los sistemas de IA frente a ciberataques y formar adecuadamente a pilotos y personal técnico para interactuar con estas tecnologías.</w:t>
      </w:r>
    </w:p>
    <w:p w14:paraId="2D421E2B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5C8C1848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          Conclusión</w:t>
      </w:r>
    </w:p>
    <w:p w14:paraId="058C78FF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</w:p>
    <w:p w14:paraId="790A8542" w14:textId="77777777" w:rsidR="006A6010" w:rsidRPr="006A6010" w:rsidRDefault="006A6010" w:rsidP="006A6010">
      <w:pPr>
        <w:rPr>
          <w:rFonts w:ascii="Verdana" w:hAnsi="Verdana"/>
          <w:sz w:val="24"/>
          <w:szCs w:val="24"/>
        </w:rPr>
      </w:pPr>
      <w:r w:rsidRPr="006A6010">
        <w:rPr>
          <w:rFonts w:ascii="Verdana" w:hAnsi="Verdana"/>
          <w:sz w:val="24"/>
          <w:szCs w:val="24"/>
        </w:rPr>
        <w:t>La IA solo mejorará la seguridad aérea si refuerza el juicio humano, mantiene líneas claras de responsabilidad y se integra con altos niveles de transparencia, control y regulación.</w:t>
      </w:r>
    </w:p>
    <w:p w14:paraId="454B3B0B" w14:textId="20B718DE" w:rsidR="008D67E9" w:rsidRPr="006A6010" w:rsidRDefault="008D67E9" w:rsidP="006A6010"/>
    <w:sectPr w:rsidR="008D67E9" w:rsidRPr="006A6010" w:rsidSect="00B06799">
      <w:headerReference w:type="default" r:id="rId6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7AFE" w14:textId="77777777" w:rsidR="007F50D4" w:rsidRDefault="007F50D4" w:rsidP="00B06799">
      <w:pPr>
        <w:spacing w:after="0" w:line="240" w:lineRule="auto"/>
      </w:pPr>
      <w:r>
        <w:separator/>
      </w:r>
    </w:p>
  </w:endnote>
  <w:endnote w:type="continuationSeparator" w:id="0">
    <w:p w14:paraId="7570D846" w14:textId="77777777" w:rsidR="007F50D4" w:rsidRDefault="007F50D4" w:rsidP="00B0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E753" w14:textId="77777777" w:rsidR="007F50D4" w:rsidRDefault="007F50D4" w:rsidP="00B06799">
      <w:pPr>
        <w:spacing w:after="0" w:line="240" w:lineRule="auto"/>
      </w:pPr>
      <w:r>
        <w:separator/>
      </w:r>
    </w:p>
  </w:footnote>
  <w:footnote w:type="continuationSeparator" w:id="0">
    <w:p w14:paraId="29068075" w14:textId="77777777" w:rsidR="007F50D4" w:rsidRDefault="007F50D4" w:rsidP="00B0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7025" w14:textId="49669411" w:rsidR="00B06799" w:rsidRDefault="00B06799" w:rsidP="00B06799">
    <w:pPr>
      <w:pStyle w:val="Encabezado"/>
    </w:pPr>
    <w:r>
      <w:rPr>
        <w:noProof/>
      </w:rPr>
      <w:drawing>
        <wp:inline distT="0" distB="0" distL="0" distR="0" wp14:anchorId="03A8262F" wp14:editId="3C9DDDFF">
          <wp:extent cx="1297172" cy="442491"/>
          <wp:effectExtent l="0" t="0" r="0" b="0"/>
          <wp:docPr id="79317864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71" cy="450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6BB7CA6" wp14:editId="27686D8A">
          <wp:extent cx="1658679" cy="490043"/>
          <wp:effectExtent l="0" t="0" r="0" b="5715"/>
          <wp:docPr id="18269515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375" cy="502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9"/>
    <w:rsid w:val="00293430"/>
    <w:rsid w:val="002934B7"/>
    <w:rsid w:val="006A6010"/>
    <w:rsid w:val="007F50D4"/>
    <w:rsid w:val="008D67E9"/>
    <w:rsid w:val="00AF710C"/>
    <w:rsid w:val="00B0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1432"/>
  <w15:chartTrackingRefBased/>
  <w15:docId w15:val="{4098E6E9-BD06-486B-BF25-ADC31A3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7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7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7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7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7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7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7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7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7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7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79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799"/>
  </w:style>
  <w:style w:type="paragraph" w:styleId="Piedepgina">
    <w:name w:val="footer"/>
    <w:basedOn w:val="Normal"/>
    <w:link w:val="Piedepgina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Informática</dc:creator>
  <cp:keywords/>
  <dc:description/>
  <cp:lastModifiedBy>Informática</cp:lastModifiedBy>
  <cp:revision>2</cp:revision>
  <dcterms:created xsi:type="dcterms:W3CDTF">2026-03-03T20:25:00Z</dcterms:created>
  <dcterms:modified xsi:type="dcterms:W3CDTF">2026-03-03T20:25:00Z</dcterms:modified>
</cp:coreProperties>
</file>